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uppressAutoHyphens w:val="false"/>
        <w:spacing w:lineRule="auto" w:line="276" w:before="85" w:after="85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TERMO DE REFERÊNCIA – LEI 14.133/21</w:t>
      </w:r>
    </w:p>
    <w:p>
      <w:pPr>
        <w:pStyle w:val="Normal"/>
        <w:spacing w:lineRule="auto" w:line="276" w:before="85" w:after="85"/>
        <w:ind w:hanging="0" w:right="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85" w:after="85"/>
        <w:ind w:hanging="0" w:right="0"/>
        <w:jc w:val="center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 xml:space="preserve"> </w:t>
      </w: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>AQUISIÇÃO DE DOCES</w:t>
      </w:r>
    </w:p>
    <w:p>
      <w:pPr>
        <w:pStyle w:val="Normal"/>
        <w:spacing w:lineRule="auto" w:line="276" w:before="85" w:after="85"/>
        <w:ind w:hanging="0" w:right="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85" w:after="85"/>
        <w:ind w:hanging="0" w:right="0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 xml:space="preserve">Processo Administrativo nº </w:t>
      </w:r>
      <w:r>
        <w:rPr>
          <w:rFonts w:eastAsia="Times New Roman" w:cs="Times New Roman" w:ascii="Verdana" w:hAnsi="Verdana"/>
          <w:b/>
          <w:bCs/>
          <w:i w:val="false"/>
          <w:iCs w:val="false"/>
          <w:color w:val="000000"/>
          <w:sz w:val="20"/>
          <w:szCs w:val="20"/>
        </w:rPr>
        <w:t>007592</w:t>
      </w: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/2024 de 22 de outubro de 2024 (Secretaria Municipal de Assistência, Desenvolvimento Social e Família)</w:t>
      </w:r>
    </w:p>
    <w:p>
      <w:pPr>
        <w:pStyle w:val="Normal"/>
        <w:spacing w:lineRule="auto" w:line="276" w:before="85" w:after="85"/>
        <w:ind w:hanging="0" w:right="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ivel1"/>
        <w:spacing w:lineRule="auto" w:line="276" w:before="85" w:after="85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>1. DAS CONDIÇÕES GERAIS DA AQUISIÇÃO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1.1 A</w:t>
      </w:r>
      <w:r>
        <w:rPr>
          <w:rFonts w:ascii="Verdana" w:hAnsi="Verdana"/>
          <w:iCs/>
          <w:sz w:val="20"/>
          <w:szCs w:val="20"/>
        </w:rPr>
        <w:t xml:space="preserve">quisição de </w:t>
      </w:r>
      <w:r>
        <w:rPr>
          <w:rFonts w:eastAsia="Times New Roman" w:cs="Times New Roman" w:ascii="Verdana" w:hAnsi="Verdana"/>
          <w:iCs/>
          <w:color w:val="auto"/>
          <w:kern w:val="0"/>
          <w:sz w:val="20"/>
          <w:szCs w:val="20"/>
          <w:lang w:val="pt-BR" w:eastAsia="pt-BR" w:bidi="ar-SA"/>
        </w:rPr>
        <w:t>doces</w:t>
      </w:r>
      <w:r>
        <w:rPr>
          <w:rFonts w:ascii="Verdana" w:hAnsi="Verdana"/>
          <w:iCs/>
          <w:sz w:val="20"/>
          <w:szCs w:val="20"/>
        </w:rPr>
        <w:t xml:space="preserve"> </w:t>
      </w:r>
      <w:r>
        <w:rPr>
          <w:rFonts w:ascii="Verdana" w:hAnsi="Verdana"/>
          <w:b/>
          <w:bCs/>
          <w:iCs/>
          <w:sz w:val="20"/>
          <w:szCs w:val="20"/>
        </w:rPr>
        <w:t>por meio de licitação</w:t>
      </w:r>
      <w:r>
        <w:rPr>
          <w:rFonts w:ascii="Verdana" w:hAnsi="Verdana"/>
          <w:iCs/>
          <w:sz w:val="20"/>
          <w:szCs w:val="20"/>
        </w:rPr>
        <w:t xml:space="preserve"> para</w:t>
      </w:r>
      <w:r>
        <w:rPr>
          <w:rFonts w:eastAsia="Times New Roman" w:cs="Times New Roman" w:ascii="Verdana" w:hAnsi="Verdana"/>
          <w:iCs/>
          <w:color w:val="auto"/>
          <w:kern w:val="0"/>
          <w:sz w:val="20"/>
          <w:szCs w:val="20"/>
          <w:lang w:val="pt-BR" w:eastAsia="pt-BR" w:bidi="ar-SA"/>
        </w:rPr>
        <w:t xml:space="preserve"> evento de “natal encantado”  realizado pela</w:t>
      </w:r>
      <w:r>
        <w:rPr>
          <w:rFonts w:ascii="Verdana" w:hAnsi="Verdana"/>
          <w:iCs/>
          <w:sz w:val="20"/>
          <w:szCs w:val="20"/>
        </w:rPr>
        <w:t xml:space="preserve"> Secretaria Municipal de Assistência Social, r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elacionados e especificados constantes neste TR e ETP, apêndice dos autos.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tbl>
      <w:tblPr>
        <w:tblW w:w="9417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33"/>
        <w:gridCol w:w="4034"/>
        <w:gridCol w:w="900"/>
        <w:gridCol w:w="1083"/>
        <w:gridCol w:w="1183"/>
        <w:gridCol w:w="1484"/>
      </w:tblGrid>
      <w:tr>
        <w:trPr>
          <w:trHeight w:val="269" w:hRule="atLeast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Preço unitário</w:t>
            </w:r>
            <w:r>
              <w:rPr>
                <w:rFonts w:cs="Arial" w:ascii="Verdana" w:hAnsi="Verdana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="Arial" w:ascii="Verdana" w:hAnsi="Verdana"/>
                <w:b/>
                <w:bCs/>
                <w:sz w:val="20"/>
                <w:szCs w:val="20"/>
                <w:u w:val="none"/>
              </w:rPr>
              <w:t>estimado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Preço total</w:t>
            </w:r>
            <w:r>
              <w:rPr>
                <w:rFonts w:cs="Arial" w:ascii="Verdana" w:hAnsi="Verdana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="Arial" w:ascii="Verdana" w:hAnsi="Verdana"/>
                <w:b/>
                <w:bCs/>
                <w:sz w:val="20"/>
                <w:szCs w:val="20"/>
                <w:u w:val="none"/>
              </w:rPr>
              <w:t>estimado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40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3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Pipoca doce, 20 gramas, pct com 40 Und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89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130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9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Frd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R$ 22,71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R$ 2.952,30</w:t>
            </w:r>
          </w:p>
        </w:tc>
      </w:tr>
      <w:tr>
        <w:trPr>
          <w:trHeight w:val="344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40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3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Bala mastigável nos sabores</w:t>
            </w:r>
            <w:r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io</w:t>
            </w:r>
            <w:r>
              <w:rPr>
                <w:rFonts w:ascii="Verdana" w:hAnsi="Verdana"/>
                <w:sz w:val="20"/>
                <w:szCs w:val="20"/>
              </w:rPr>
              <w:t>g</w:t>
            </w:r>
            <w:r>
              <w:rPr>
                <w:rFonts w:ascii="Verdana" w:hAnsi="Verdana"/>
                <w:sz w:val="20"/>
                <w:szCs w:val="20"/>
              </w:rPr>
              <w:t>urte,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morango,</w:t>
            </w:r>
            <w:r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maçã verde, Sortida pacote com 600 gr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right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</w:r>
          </w:p>
          <w:p>
            <w:pPr>
              <w:pStyle w:val="TableParagraph"/>
              <w:spacing w:lineRule="auto" w:line="276" w:before="57" w:after="57"/>
              <w:ind w:hanging="0" w:left="89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200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right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</w:r>
          </w:p>
          <w:p>
            <w:pPr>
              <w:pStyle w:val="TableParagraph"/>
              <w:spacing w:lineRule="auto" w:line="276" w:before="57" w:after="57"/>
              <w:ind w:hanging="0" w:left="11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Pct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R$ 9,67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R$ 1.934,00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40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3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Pirulito sabor sortido pacote com</w:t>
            </w:r>
            <w:r>
              <w:rPr>
                <w:rFonts w:ascii="Verdana" w:hAnsi="Verdana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50 unidades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89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110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11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Pct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R$ 9,79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R$ 1.076,90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40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3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Bombom bola com recheio à base de</w:t>
            </w:r>
            <w:r>
              <w:rPr>
                <w:rFonts w:ascii="Verdana" w:hAnsi="Verdana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castanha de caju, envolvido por</w:t>
            </w:r>
            <w:r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uma camada de biscoito waffer e Coberto com uma camada de chocolate ao Leite, embalagem de 800gr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89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7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R$ 39,24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R$ 5.886,00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40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3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Pastilha de chocolate confeitado,</w:t>
            </w:r>
            <w:r>
              <w:rPr>
                <w:rFonts w:ascii="Verdana" w:hAnsi="Verdana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18 gramas, caixa 24 und.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89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220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15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Cx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R$ 20,09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R$ 4.419,80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40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3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Bala de goma, tubo com 32 gramas,</w:t>
            </w:r>
            <w:r>
              <w:rPr>
                <w:rFonts w:ascii="Verdana" w:hAnsi="Verdana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caixa com 30 unidades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89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170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15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Cx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R$ 18,93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R$ 3.218,10</w:t>
            </w:r>
          </w:p>
        </w:tc>
      </w:tr>
      <w:tr>
        <w:trPr>
          <w:trHeight w:val="646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40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3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Sacola em papel celofane medindo 20 x25 cm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5.500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7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R$ 0,34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R$ 1.870,00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08</w:t>
            </w:r>
          </w:p>
        </w:tc>
        <w:tc>
          <w:tcPr>
            <w:tcW w:w="40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3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Fitilho plástico com 0,5 x 50 metros, Nas cores: vermelha, verde, dourada, Prateada, branca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right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</w:r>
          </w:p>
          <w:p>
            <w:pPr>
              <w:pStyle w:val="TableParagraph"/>
              <w:spacing w:lineRule="auto" w:line="276" w:before="57" w:after="57"/>
              <w:ind w:hanging="0" w:left="89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100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right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</w:r>
          </w:p>
          <w:p>
            <w:pPr>
              <w:pStyle w:val="TableParagraph"/>
              <w:spacing w:lineRule="auto" w:line="276" w:before="57" w:after="57"/>
              <w:ind w:hanging="0" w:left="15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</w:t>
            </w:r>
            <w:r>
              <w:rPr>
                <w:rFonts w:ascii="Verdana" w:hAnsi="Verdana"/>
                <w:sz w:val="20"/>
                <w:szCs w:val="20"/>
              </w:rPr>
              <w:t>l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R$ 3,33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R$ 333,00</w:t>
            </w:r>
          </w:p>
        </w:tc>
      </w:tr>
      <w:tr>
        <w:trPr>
          <w:trHeight w:val="678" w:hRule="atLeast"/>
        </w:trPr>
        <w:tc>
          <w:tcPr>
            <w:tcW w:w="941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VALOR ESTIMADO TOTAL R$ 21</w:t>
            </w:r>
            <w:r>
              <w:rPr>
                <w:rFonts w:eastAsia="Times New Roman" w:cs="Arial" w:ascii="Verdana" w:hAnsi="Verdana"/>
                <w:b/>
                <w:bCs/>
                <w:color w:val="000000"/>
                <w:sz w:val="20"/>
                <w:szCs w:val="20"/>
                <w:lang w:eastAsia="zh-CN"/>
              </w:rPr>
              <w:t>.690,10 (vinte e um mil seiscentos e noventa reais e dez centavos)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0" w:leader="none"/>
        </w:tabs>
        <w:suppressAutoHyphens w:val="false"/>
        <w:spacing w:lineRule="auto" w:line="276" w:before="85" w:after="85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uppressAutoHyphens w:val="false"/>
        <w:spacing w:lineRule="auto" w:line="276" w:before="85" w:after="85"/>
        <w:ind w:hanging="0" w:left="-22" w:right="0"/>
        <w:jc w:val="both"/>
        <w:rPr>
          <w:rFonts w:ascii="Verdana" w:hAnsi="Verdana"/>
          <w:sz w:val="20"/>
          <w:szCs w:val="20"/>
        </w:rPr>
      </w:pPr>
      <w:bookmarkStart w:id="0" w:name="art23§711"/>
      <w:bookmarkEnd w:id="0"/>
      <w:r>
        <w:rPr>
          <w:rFonts w:ascii="Verdana" w:hAnsi="Verdana"/>
          <w:b w:val="false"/>
          <w:bCs w:val="false"/>
          <w:iCs/>
          <w:sz w:val="20"/>
          <w:szCs w:val="20"/>
        </w:rPr>
        <w:t>1.2</w:t>
      </w:r>
      <w:bookmarkStart w:id="1" w:name="art23§7"/>
      <w:r>
        <w:rPr>
          <w:rFonts w:ascii="Verdana" w:hAnsi="Verdana"/>
          <w:b w:val="false"/>
          <w:bCs w:val="false"/>
          <w:iCs/>
          <w:sz w:val="20"/>
          <w:szCs w:val="20"/>
        </w:rPr>
        <w:t>. Os produtos propostos deverão, obrigatoriamente, atender as exigências de qualidade, observados os padrões e normas baixadas pelos órgãos competentes de controle e fiscalização de qualidade industrial ou equiparadas.</w:t>
      </w:r>
    </w:p>
    <w:p>
      <w:pPr>
        <w:pStyle w:val="ListParagraph"/>
        <w:suppressAutoHyphens w:val="false"/>
        <w:spacing w:lineRule="auto" w:line="276" w:before="85" w:after="85"/>
        <w:ind w:hanging="0" w:left="-22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1.3.</w:t>
      </w:r>
      <w:r>
        <w:rPr>
          <w:rFonts w:ascii="Verdana" w:hAnsi="Verdana"/>
          <w:b w:val="false"/>
          <w:bCs w:val="false"/>
          <w:iCs/>
          <w:sz w:val="20"/>
          <w:szCs w:val="20"/>
          <w:u w:val="none"/>
        </w:rPr>
        <w:t xml:space="preserve"> 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 xml:space="preserve">O prazo de vigência da </w:t>
      </w:r>
      <w:r>
        <w:rPr>
          <w:rFonts w:eastAsia="Times New Roman"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>aquisição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 xml:space="preserve"> será imediata </w:t>
      </w:r>
      <w:r>
        <w:rPr>
          <w:rFonts w:cs="Arial" w:ascii="Verdana" w:hAnsi="Verdana"/>
          <w:b w:val="false"/>
          <w:bCs w:val="false"/>
          <w:iCs/>
          <w:color w:val="FF0000"/>
          <w:sz w:val="20"/>
          <w:szCs w:val="20"/>
          <w:u w:val="none"/>
        </w:rPr>
        <w:t xml:space="preserve"> 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>com a entrega após 05 (cinco) da  emissão da autorização de fornecimento pelo Departamento de Compras e Contratos.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 xml:space="preserve">1.4. </w:t>
      </w:r>
      <w:r>
        <w:rPr>
          <w:rFonts w:eastAsia="Times New Roman" w:cs="Arial" w:ascii="Verdana" w:hAnsi="Verdana"/>
          <w:b w:val="false"/>
          <w:bCs w:val="false"/>
          <w:iCs/>
          <w:color w:val="000000"/>
          <w:sz w:val="20"/>
          <w:szCs w:val="20"/>
          <w:shd w:fill="auto" w:val="clear"/>
        </w:rPr>
        <w:t xml:space="preserve">O objeto da contratação será composto por </w:t>
      </w:r>
      <w:r>
        <w:rPr>
          <w:rFonts w:eastAsia="Times New Roman" w:cs="Arial" w:ascii="Verdana" w:hAnsi="Verdana"/>
          <w:b/>
          <w:bCs/>
          <w:iCs/>
          <w:color w:val="000000"/>
          <w:kern w:val="0"/>
          <w:sz w:val="20"/>
          <w:szCs w:val="20"/>
          <w:shd w:fill="auto" w:val="clear"/>
          <w:lang w:val="pt-BR" w:eastAsia="zh-CN" w:bidi="ar-SA"/>
        </w:rPr>
        <w:t>08 itens</w:t>
      </w:r>
      <w:r>
        <w:rPr>
          <w:rFonts w:eastAsia="Times New Roman" w:cs="Arial" w:ascii="Verdana" w:hAnsi="Verdana"/>
          <w:b w:val="false"/>
          <w:bCs w:val="false"/>
          <w:iCs/>
          <w:color w:val="000000"/>
          <w:sz w:val="20"/>
          <w:szCs w:val="20"/>
          <w:shd w:fill="auto" w:val="clear"/>
        </w:rPr>
        <w:t>, de preço total estimado orçado pela administração no valor</w:t>
      </w:r>
      <w:r>
        <w:rPr>
          <w:rFonts w:eastAsia="Arial" w:cs="Arial" w:ascii="Verdana" w:hAnsi="Verdana"/>
          <w:b/>
          <w:bCs w:val="false"/>
          <w:iCs/>
          <w:color w:val="000000"/>
          <w:sz w:val="20"/>
          <w:szCs w:val="20"/>
          <w:shd w:fill="auto" w:val="clear"/>
        </w:rPr>
        <w:t xml:space="preserve"> </w:t>
      </w:r>
      <w:r>
        <w:rPr>
          <w:rFonts w:eastAsia="Arial" w:cs="Arial" w:ascii="Verdana" w:hAnsi="Verdana"/>
          <w:b/>
          <w:bCs/>
          <w:iCs/>
          <w:color w:val="000000"/>
          <w:sz w:val="20"/>
          <w:szCs w:val="20"/>
          <w:shd w:fill="auto" w:val="clear"/>
        </w:rPr>
        <w:t>R$ R$ 21</w:t>
      </w:r>
      <w:r>
        <w:rPr>
          <w:rFonts w:eastAsia="Times New Roman" w:cs="Arial" w:ascii="Verdana" w:hAnsi="Verdana"/>
          <w:b/>
          <w:bCs/>
          <w:iCs/>
          <w:color w:val="000000"/>
          <w:sz w:val="20"/>
          <w:szCs w:val="20"/>
          <w:shd w:fill="auto" w:val="clear"/>
          <w:lang w:eastAsia="zh-CN"/>
        </w:rPr>
        <w:t>.690,10 (vinte e um mil seiscentos e noventa reais e dez centavos).</w:t>
      </w:r>
      <w:r>
        <w:rPr>
          <w:rFonts w:eastAsia="Arial" w:cs="Arial" w:ascii="Verdana" w:hAnsi="Verdana"/>
          <w:b/>
          <w:bCs/>
          <w:iCs/>
          <w:color w:val="000000"/>
          <w:sz w:val="20"/>
          <w:szCs w:val="20"/>
          <w:shd w:fill="auto" w:val="clear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iCs/>
          <w:color w:val="000000"/>
          <w:sz w:val="20"/>
          <w:szCs w:val="20"/>
          <w:shd w:fill="auto" w:val="clear"/>
        </w:rPr>
        <w:t xml:space="preserve">Para fins de classificação, será considerado o </w:t>
      </w:r>
      <w:r>
        <w:rPr>
          <w:rFonts w:eastAsia="Times New Roman" w:cs="Arial" w:ascii="Verdana" w:hAnsi="Verdana"/>
          <w:b/>
          <w:bCs w:val="false"/>
          <w:iCs/>
          <w:color w:val="000000"/>
          <w:sz w:val="20"/>
          <w:szCs w:val="20"/>
          <w:shd w:fill="auto" w:val="clear"/>
        </w:rPr>
        <w:t>menor preço por item</w:t>
      </w:r>
      <w:r>
        <w:rPr>
          <w:rFonts w:eastAsia="Times New Roman" w:cs="Arial" w:ascii="Verdana" w:hAnsi="Verdana"/>
          <w:b w:val="false"/>
          <w:bCs w:val="false"/>
          <w:iCs/>
          <w:color w:val="000000"/>
          <w:sz w:val="20"/>
          <w:szCs w:val="20"/>
          <w:shd w:fill="auto" w:val="clear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ivel1"/>
        <w:spacing w:lineRule="auto" w:line="276" w:before="85" w:after="85"/>
        <w:ind w:hanging="0" w:left="0" w:right="0"/>
        <w:rPr>
          <w:rFonts w:ascii="Verdana" w:hAnsi="Verdana"/>
          <w:sz w:val="20"/>
          <w:szCs w:val="20"/>
        </w:rPr>
      </w:pPr>
      <w:bookmarkStart w:id="2" w:name="art23§712"/>
      <w:bookmarkEnd w:id="2"/>
      <w:r>
        <w:rPr>
          <w:rFonts w:cs="Times New Roman" w:ascii="Verdana" w:hAnsi="Verdana"/>
          <w:bCs/>
          <w:sz w:val="20"/>
          <w:szCs w:val="20"/>
        </w:rPr>
        <w:t>2. FUNDAMENTAÇÃO E DESCRIÇÃO DA NECESSIDADE DA AQUISIÇÃO</w:t>
      </w:r>
      <w:bookmarkStart w:id="3" w:name="art23§71"/>
      <w:bookmarkStart w:id="4" w:name="art23§73"/>
      <w:bookmarkStart w:id="5" w:name="art23§72"/>
    </w:p>
    <w:p>
      <w:pPr>
        <w:pStyle w:val="PargrafodaLista"/>
        <w:widowControl w:val="false"/>
        <w:tabs>
          <w:tab w:val="clear" w:pos="708"/>
          <w:tab w:val="left" w:pos="9375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2.1. A realização de um evento de Natal é uma tradição em muitas cidades ao redor do mundo, trazendo alegria e espírito natalino para a população. Nesse contexto, a aquisição de doces para o evento se faz extremamente necessária, pois eles são um elemento essencial para encantar e satisfazer os participantes.</w:t>
      </w:r>
    </w:p>
    <w:p>
      <w:pPr>
        <w:pStyle w:val="PargrafodaLista"/>
        <w:widowControl w:val="false"/>
        <w:tabs>
          <w:tab w:val="clear" w:pos="708"/>
          <w:tab w:val="left" w:pos="9375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2.2. Os doces são considerados um símbolo de celebração e festividade, tornando o ambiente mais acolhedor e convidativo. Além disso, eles são uma forma de agradar as crianças e garantir que todos os presentes sintam a magia do Natal.</w:t>
      </w:r>
    </w:p>
    <w:p>
      <w:pPr>
        <w:pStyle w:val="PargrafodaLista"/>
        <w:widowControl w:val="false"/>
        <w:tabs>
          <w:tab w:val="clear" w:pos="708"/>
          <w:tab w:val="left" w:pos="9375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2.3. A contratação do serviço de aquisição de doces para o evento de Natal é de interesse público, pois contribui para o fortalecimento dos laços comunitários, promovendo a integração e o convívio entre os moradores. Através da distribuição de doces, é possível criar um ambiente de harmonia e solidariedade, incentivando a troca de afeto e bons sentimentos entre as pessoas.</w:t>
      </w:r>
    </w:p>
    <w:p>
      <w:pPr>
        <w:pStyle w:val="PargrafodaLista"/>
        <w:widowControl w:val="false"/>
        <w:tabs>
          <w:tab w:val="clear" w:pos="708"/>
          <w:tab w:val="left" w:pos="9375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2.4. Além disso, a presença dos doces contribui para a valorização da cultura local e das tradições natalinas, resgatando memórias afetivas e proporcionando momentos de alegria e descontração para a população.</w:t>
      </w:r>
    </w:p>
    <w:p>
      <w:pPr>
        <w:pStyle w:val="PargrafodaLista"/>
        <w:widowControl w:val="false"/>
        <w:tabs>
          <w:tab w:val="clear" w:pos="708"/>
          <w:tab w:val="left" w:pos="9375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2.5. Portanto, a contratação do serviço de aquisição de doces para o evento de Natal é essencial para garantir o sucesso da celebração e atender às expectativas do público. Através da oferta de uma variedade de doces, é possível proporcionar experiências gastronômicas únicas e memoráveis, que serão lembradas com carinho por todos os presentes.</w:t>
        <w:br/>
        <w:t xml:space="preserve">2.6. Assim, ao investir na aquisição de doces para o evento de Natal, a administração pública contribuirá para o bem-estar e a felicidade da comunidade, fortalecendo os laços sociais e promovendo a cultura e a tradição do Natal. </w:t>
      </w:r>
    </w:p>
    <w:p>
      <w:pPr>
        <w:pStyle w:val="Normal"/>
        <w:tabs>
          <w:tab w:val="clear" w:pos="708"/>
          <w:tab w:val="left" w:pos="9375" w:leader="none"/>
        </w:tabs>
        <w:spacing w:lineRule="auto" w:line="276" w:before="85" w:after="85"/>
        <w:ind w:hanging="0" w:left="0" w:right="0"/>
        <w:jc w:val="both"/>
        <w:rPr>
          <w:rFonts w:ascii="Verdana" w:hAnsi="Verdana" w:cs="Arial"/>
          <w:b w:val="false"/>
          <w:bCs w:val="false"/>
          <w:sz w:val="20"/>
          <w:szCs w:val="20"/>
          <w:u w:val="single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single"/>
        </w:rPr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DESCRIÇÃO DA SOLUÇÃO</w:t>
      </w:r>
    </w:p>
    <w:p>
      <w:pPr>
        <w:pStyle w:val="BodyText"/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>3.1. Após uma análise das opções disponíveis, foi possível identificar a solução mais vantajosa tanto para a contratação inicial quanto para futuras manutenções. O processo de avaliação envolveu uma análise criteriosa de diversos aspectos, levando em consideração não apenas o custo inicial, mas também a qualidade, a confiabilidade e a eficiência a longo prazo.</w:t>
      </w:r>
    </w:p>
    <w:p>
      <w:pPr>
        <w:pStyle w:val="BodyText"/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>3.2. Dentre as opções examinadas, a solução que se destacou foi aquela que oferecia um equilíbrio notável entre qualidade e custo-benefício. Além de apresentar um custo inicial competitivo, essa alternativa demonstrou ser compatível com as necessidades projetadas no caso de uma eventual manutenção futura. Sua capacidade de adaptação a possíveis mudanças também foi um ponto crucial na decisão.</w:t>
      </w:r>
    </w:p>
    <w:p>
      <w:pPr>
        <w:pStyle w:val="BodyText"/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>3.3. A escolha desta solução não apenas se mostrou vantajosa para o momento da contratação, mas também previu potenciais economias a longo prazo, tanto em termos de despesas operacionais.</w:t>
      </w:r>
    </w:p>
    <w:p>
      <w:pPr>
        <w:pStyle w:val="Normal"/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3.4. Com base na análise detalhada realizada, esta solução se destaca como a mais viável e promissora para atender às demandas atuais e futuras, oferecendo um equilíbrio ideal entre eficiência, confiabilidade e custo, tanto na fase inicial quanto nas manutenções posteriores.</w:t>
      </w:r>
    </w:p>
    <w:p>
      <w:pPr>
        <w:pStyle w:val="Normal"/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3.5.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A aquisição deverá obedecer, no que couber, ao disposto na Lei n.º 14.133/2021 e suas alterações.</w:t>
      </w:r>
    </w:p>
    <w:p>
      <w:pPr>
        <w:pStyle w:val="Normal"/>
        <w:spacing w:lineRule="auto" w:line="276" w:before="85" w:after="85"/>
        <w:ind w:hanging="0" w:right="0"/>
        <w:jc w:val="both"/>
        <w:rPr>
          <w:rFonts w:ascii="Verdana" w:hAnsi="Verdana" w:cs="Arial"/>
          <w:b w:val="false"/>
          <w:bCs w:val="false"/>
          <w:sz w:val="20"/>
          <w:szCs w:val="20"/>
          <w:u w:val="none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</w:rPr>
      </w:r>
    </w:p>
    <w:p>
      <w:pPr>
        <w:pStyle w:val="Nivel1"/>
        <w:spacing w:lineRule="auto" w:line="276" w:before="85" w:after="85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4. CLASSIFICAÇÃO DOS BENS COMUNS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4.1. Trata-se de bens comuns a ser contratado mediante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 xml:space="preserve"> licitação.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5. REQUISITOS DA AQUISIÇÃO</w:t>
      </w:r>
    </w:p>
    <w:p>
      <w:pPr>
        <w:pStyle w:val="Normal"/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5.1.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Na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 dos produtos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, a CONTRATADA deve: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1183" w:leader="none"/>
        </w:tabs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Fornecer doces para evento de Natal;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1183" w:leader="none"/>
        </w:tabs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Entregar produtos de alta qualidade e sabor;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1183" w:leader="none"/>
        </w:tabs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Variedade de opções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estabelecido neste documento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;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1183" w:leader="none"/>
        </w:tabs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Garantir a qualidade e segurança alimentar dos produtos;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1183" w:leader="none"/>
        </w:tabs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Cumprir rigorosamente os prazos estabelecidos;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1183" w:leader="none"/>
        </w:tabs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Disponibilizar um canal de comunicação para eventuais dúvidas ou problemas.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183" w:leader="none"/>
        </w:tabs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Transporte e logística dos produtos até o local destinado para entrega;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183" w:leader="none"/>
        </w:tabs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Preservação da qualidade e segurança alimentar dos produtos;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183" w:leader="none"/>
        </w:tabs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Preservação da embalagem original dos produtos</w:t>
      </w:r>
    </w:p>
    <w:p>
      <w:pPr>
        <w:pStyle w:val="Normal"/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5.2. Da qualificação técnica.</w:t>
      </w:r>
    </w:p>
    <w:p>
      <w:pPr>
        <w:pStyle w:val="Normal"/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5.2.1. </w:t>
      </w: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A empresa fornecedora deve ter suas atividades correspondentes ao objeto da aquisição. </w:t>
      </w:r>
    </w:p>
    <w:p>
      <w:pPr>
        <w:pStyle w:val="Normal"/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auto" w:val="clear"/>
        </w:rPr>
        <w:t>5.2.2. Registro da pessoa jurídica (CONTRATADA) nos órgãos competentes e Conselho Regional da classe, se for o caso.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ivel1"/>
        <w:suppressAutoHyphens w:val="true"/>
        <w:spacing w:lineRule="auto" w:line="276" w:before="85" w:after="85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i w:val="false"/>
          <w:iCs w:val="false"/>
          <w:sz w:val="20"/>
          <w:szCs w:val="20"/>
        </w:rPr>
        <w:t>6. ENTREGA E CRITÉRIOS DE ACEITAÇÃO DO OBJETO.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6.1.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O fornecedor deverá entregar as mercadorias no prazo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 xml:space="preserve">estipulado,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  <w:lang w:eastAsia="zh-CN"/>
        </w:rPr>
        <w:t>de até 05 (cinco) dias corridos para a entrega, a partir do recebimento da Ordem de Fornecimento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emitida pelo Departamento de Compras.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6.2. A entrega será feita na Sede da Secretaria Municipal de Assistência Social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, situado à Rua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14 de Maio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, 54, Bairro Glória,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neste município.</w:t>
      </w:r>
      <w:r>
        <w:rPr>
          <w:rFonts w:cs="Arial" w:ascii="Verdana" w:hAnsi="Verdana"/>
          <w:b/>
          <w:bCs w:val="false"/>
          <w:i w:val="false"/>
          <w:iCs w:val="false"/>
          <w:color w:val="000000"/>
          <w:sz w:val="20"/>
          <w:szCs w:val="20"/>
          <w:u w:val="single"/>
        </w:rPr>
        <w:t xml:space="preserve">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single"/>
        </w:rPr>
        <w:t xml:space="preserve">Horário: Segunda a quinta feira de 12h ás 18h; sexta feira de 07h as 13h. 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Cep.: 29780-000</w:t>
      </w:r>
      <w:bookmarkStart w:id="6" w:name="page66R_mcid16"/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Telefone. (27)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99975-6571</w:t>
      </w:r>
    </w:p>
    <w:p>
      <w:pPr>
        <w:pStyle w:val="Normal"/>
        <w:spacing w:lineRule="auto" w:line="276" w:before="85" w:after="85"/>
        <w:ind w:hanging="0" w:left="0" w:right="0"/>
        <w:jc w:val="both"/>
        <w:rPr/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E-mail. </w:t>
      </w:r>
      <w:r>
        <w:rPr>
          <w:rStyle w:val="InternetLink"/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assistenciasgp@gmail.com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Responsável: Secretaria Municipal de Assistência, Desenvolvimento Social e Família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6.3. O prazo de validade na data da entrega não poderá ser inferior à metade do prazo total recomendado pelo fabricante.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6.4. Os bens serão recebidos provisoriamente no prazo de 02 (dois) dias, pelo (a) responsável pelo acompanhamento e fiscalização, para efeito de posterior verificação de sua conformidade com as especificações constantes neste Termo de Referência e na proposta.</w:t>
      </w:r>
      <w:r>
        <w:rPr>
          <w:rFonts w:ascii="Verdana" w:hAnsi="Verdana"/>
          <w:b w:val="false"/>
          <w:bCs w:val="false"/>
          <w:sz w:val="20"/>
          <w:szCs w:val="20"/>
        </w:rPr>
        <w:br/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6.5. Os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itens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poderão ser rejeitados, no todo ou em parte, quando em desacordo com as especificações constantes neste Termo de Referência e na proposta, devendo ser substituídos no prazo de 24h (vinte e quatro horas), a contar da notificação</w:t>
      </w:r>
      <w:r>
        <w:rPr>
          <w:rFonts w:ascii="Verdana" w:hAnsi="Verdana"/>
          <w:b w:val="false"/>
          <w:bCs w:val="false"/>
          <w:sz w:val="20"/>
          <w:szCs w:val="20"/>
        </w:rPr>
        <w:br/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da contratada, às suas custas, sem prejuízo da aplicação das penalidades.</w:t>
      </w:r>
      <w:r>
        <w:rPr>
          <w:rFonts w:ascii="Verdana" w:hAnsi="Verdana"/>
          <w:b w:val="false"/>
          <w:bCs w:val="false"/>
          <w:sz w:val="20"/>
          <w:szCs w:val="20"/>
        </w:rPr>
        <w:br/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6.6.</w:t>
      </w:r>
      <w:bookmarkStart w:id="7" w:name="page68R_mcid71"/>
      <w:r>
        <w:rPr>
          <w:rFonts w:cs="Arial" w:ascii="Verdana" w:hAnsi="Verdana"/>
          <w:i w:val="false"/>
          <w:iCs w:val="false"/>
          <w:color w:val="000000"/>
          <w:sz w:val="20"/>
          <w:szCs w:val="20"/>
        </w:rPr>
        <w:t xml:space="preserve"> O recebimento provisório ou definitivo do objeto não exclui a responsabilidade da contratada pelos prejuízos resultantes da incorreta execução do contrato.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7. OBRIGAÇÕES DA CONTRATANTE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Receber os objetos no prazo e condições estabelecidas neste Termo de Referência e seus anexos.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7.2. </w:t>
      </w:r>
      <w:bookmarkStart w:id="8" w:name="page68R_mcid17"/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Verificar minuciosamente, no prazo fixado, a conformidade dos bens recebidos provisoriamente com as especificações constantes neste Termo de Referência e da proposta, para fins de aceitação e recebimento definitivo.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7.3. Comunicar à Contratada, por escrito, sobre imperfeições, falhas ou irregularidades verificadas no objeto fornecido, para que seja substituído, reparado ou corrigido.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7.4. Acompanhar e fiscalizar o cumprimento das obrigações da Contratada, através de comissão/servidor especialmente designado.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7.5. Efetuar o pagamento à Contratada no valor correspondente ao fornecimento dos objetos, no prazo e forma estabelecidos neste TR e seus anexos.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 Administração não responderá por quaisquer compromissos assumidos pela Contratada com terceiros, ainda que vinculados à execução, bem como por qualquer dano causado a terceiros em decorrência de ato da Contratada, de seus empregados, prepostos ou subordinados.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bookmarkStart w:id="9" w:name="page68R_mcid7"/>
      <w:bookmarkEnd w:id="9"/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8. OBRIGAÇÕES DA CONTRATADA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bookmarkStart w:id="10" w:name="page68R_mcid171"/>
      <w:bookmarkEnd w:id="10"/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8.2. Efetuar a entrega do objeto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8.3. Responsabilizar-se pelos vícios e danos decorrentes do objeto, de acordo com os artigos 12, 13 e 17 a 27, do Código de Defesa do Consumidor (Lei nº 8.078, de 1990).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8.4. Substituir, reparar ou corrigir, às suas expensas, no prazo fixado neste Termo de Referência, o objeto com avarias ou defeitos.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8.5.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Comunicar à Contratante, no prazo máximo de 72 (setenta e duas) horas que antecede a data da entrega, os motivos que impossibilitem o cumprimento do prazo previsto, com a devida comprovação.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Manter, durante toda a execução, em compatibilidade com as obrigações assumidas, todas as condições de habilitação e qualificação exigidas na licitação.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8.7.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Indicar preposto para representá-la durante a execução.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8.8.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A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contratada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será responsável pela observância das leis, decretos, regulamentos, portarias e normas federais, estaduais e municipais direta e indiretamente aplicáveis ao objeto do contrato.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8.9.Durante a execução, a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contratada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deverá: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8.9.1.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Atender prontamente às solicitações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da secretaria e seus equipamentos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, no fornecimento d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os objetos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nas quantidades e especificações deste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termo de referência.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8.9.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2. Entregar os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objetos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acondicionados adequadamente, em invólucro lacrado, de forma a permitir completa segurança durante o transporte, acompanhado de nota fiscal, discriminado o quantitativo do produto, de acordo com as especificações técnicas.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8.9.3.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 nota fiscal deverá ser acompanhada pelas Certidões de Regularidades Fiscais.</w:t>
      </w:r>
      <w:r>
        <w:rPr>
          <w:rFonts w:ascii="Verdana" w:hAnsi="Verdana"/>
          <w:b w:val="false"/>
          <w:bCs w:val="false"/>
          <w:sz w:val="20"/>
          <w:szCs w:val="20"/>
        </w:rPr>
        <w:br/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8.9.4. </w:t>
      </w:r>
      <w:bookmarkStart w:id="11" w:name="_GoBack1111"/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Substituir quaisquer objeto que não esteja dentro do padrão de qualidade, em bom estado de conservação, que apresente defeito ou não esteja em conformidade com as especificações da proposta apresentada.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85" w:after="85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9. DO CONTROLE E FISCALIZAÇÃO DA EXECUÇÃO</w:t>
      </w:r>
      <w:bookmarkStart w:id="12" w:name="_GoBack111"/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9.1. A fiscalização será realizado por servidor da secretaria requisitante para acompanhar e fiscalizar a entrega dos bens, anotando em registro próprio todas as ocorrências relacionadas com a execução e determinando o que for necessário à regularização de falhas ou defeitos observados.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9.2. A fiscalização de que trata este item não exclui nem reduz a responsabilidade da Contratada, inclusive perante terceiros, por qualquer irregularidade, ainda que resultante de imperfeições técnicas ou vícios redibitórios, e na ocorrência desta, não implica em responsabilidade da Administração ou de seus agentes e prepostos, de conformidade com a Lei n.º 14.133/2021.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10. CRITÉRIOS DE PAGAMENTO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10.1. Recebida a Nota Fiscal ou documento de cobrança equivalente, correrá o prazo de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lang w:eastAsia="en-US"/>
        </w:rPr>
        <w:t>(30) trinta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dias úteis para fins de liquidação, na forma desta seção, prorrogáveis por igual período.</w:t>
      </w:r>
    </w:p>
    <w:p>
      <w:pPr>
        <w:pStyle w:val="Normal"/>
        <w:spacing w:lineRule="auto" w:line="276" w:before="85" w:after="85"/>
        <w:ind w:hanging="0" w:left="-22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rStyle w:val="ListLabel28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instrText xml:space="preserve"> HYPERLINK "http://www.planalto.gov.br/ccivil_03/_ato2019-2022/2021/lei/L14133.htm" \l "art75"</w:instrText>
      </w:r>
      <w:r>
        <w:rPr>
          <w:rStyle w:val="ListLabel28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separate"/>
      </w:r>
      <w:r>
        <w:rPr>
          <w:rStyle w:val="ListLabel28"/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inciso II do art. 75 da Lei nº 14.133, de 2021</w:t>
      </w:r>
      <w:r>
        <w:rPr>
          <w:rStyle w:val="ListLabel28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end"/>
      </w:r>
      <w:r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.</w:t>
      </w:r>
    </w:p>
    <w:p>
      <w:pPr>
        <w:pStyle w:val="Normal"/>
        <w:spacing w:lineRule="auto" w:line="276" w:before="85" w:after="85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 w:before="85" w:after="85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- O prazo de validade;</w:t>
      </w:r>
    </w:p>
    <w:p>
      <w:pPr>
        <w:pStyle w:val="Normal"/>
        <w:tabs>
          <w:tab w:val="clear" w:pos="708"/>
          <w:tab w:val="left" w:pos="563" w:leader="none"/>
        </w:tabs>
        <w:spacing w:lineRule="auto" w:line="276" w:before="85" w:after="85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A data da emissão;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 w:before="85" w:after="85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Os dados do contrato e do órgão contratante;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 w:before="85" w:after="85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 período respectivo de execução do contrato;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 w:before="85" w:after="85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 valor a pagar; e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 w:before="85" w:after="85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- Eventual destaque do valor de retenções tributárias cabíveis.</w:t>
      </w:r>
    </w:p>
    <w:p>
      <w:pPr>
        <w:pStyle w:val="Normal"/>
        <w:tabs>
          <w:tab w:val="clear" w:pos="708"/>
          <w:tab w:val="left" w:pos="625" w:leader="none"/>
        </w:tabs>
        <w:spacing w:lineRule="auto" w:line="276" w:before="85" w:after="85"/>
        <w:ind w:hanging="0" w:left="-57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10.4. Haven</w:t>
      </w:r>
      <w:r>
        <w:rPr>
          <w:rFonts w:ascii="Verdana" w:hAnsi="Verdana"/>
          <w:sz w:val="20"/>
          <w:szCs w:val="20"/>
        </w:rPr>
        <w:t>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276" w:before="85" w:after="85"/>
        <w:ind w:hanging="0" w:left="-22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>10.5. 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nota fisc</w:t>
      </w:r>
      <w:r>
        <w:rPr>
          <w:rFonts w:ascii="Verdana" w:hAnsi="Verdana"/>
          <w:sz w:val="20"/>
          <w:szCs w:val="20"/>
          <w:lang w:eastAsia="en-US"/>
        </w:rPr>
        <w:t>al ou instrumento de cobrança equivalente deverá ser obrigatoriamente acompanhado da comprovação da regularidade fiscal</w:t>
      </w:r>
      <w:r>
        <w:rPr>
          <w:rStyle w:val="InternetLink"/>
          <w:rFonts w:ascii="Verdana" w:hAnsi="Verdana"/>
          <w:sz w:val="20"/>
          <w:szCs w:val="20"/>
          <w:lang w:eastAsia="en-US"/>
        </w:rPr>
        <w:t>.</w:t>
      </w:r>
    </w:p>
    <w:p>
      <w:pPr>
        <w:pStyle w:val="Normal"/>
        <w:spacing w:lineRule="auto" w:line="276" w:before="85" w:after="85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10.6. O pagamento será efetuado no prazo de até 30 (trinta) dias úteis contados da finalização da liquidação da despesa.</w:t>
      </w:r>
    </w:p>
    <w:p>
      <w:pPr>
        <w:pStyle w:val="Normal"/>
        <w:spacing w:lineRule="auto" w:line="276" w:before="85" w:after="85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10.7. O pagamento será realizado por meio de ordem bancária, para crédito em banco, agência e conta corrente indicados pelo contratado.</w:t>
      </w:r>
    </w:p>
    <w:p>
      <w:pPr>
        <w:pStyle w:val="Normal"/>
        <w:spacing w:lineRule="auto" w:line="276" w:before="85" w:after="85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10.8. Será considerada data do pagamento o dia em que constar como emitida a ordem bancária para pagamento.</w:t>
      </w:r>
    </w:p>
    <w:p>
      <w:pPr>
        <w:pStyle w:val="Normal"/>
        <w:spacing w:lineRule="auto" w:line="276" w:before="85" w:after="85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10.9. Quando do pagamento, será efetuada a retenção tributária prevista na legislação aplicável.</w:t>
      </w:r>
    </w:p>
    <w:p>
      <w:pPr>
        <w:pStyle w:val="Normal"/>
        <w:spacing w:lineRule="auto" w:line="276" w:before="85" w:after="85"/>
        <w:ind w:hanging="0" w:left="-79" w:right="0"/>
        <w:jc w:val="both"/>
        <w:rPr/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lang w:eastAsia="en-US"/>
        </w:rPr>
        <w:t xml:space="preserve">10.10. O contratado regularmente optante pelo Simples Nacional, nos termos da </w:t>
      </w:r>
      <w:hyperlink r:id="rId2">
        <w:r>
          <w:rPr>
            <w:rStyle w:val="ListLabel29"/>
            <w:rFonts w:ascii="Verdana" w:hAnsi="Verdana"/>
            <w:b w:val="false"/>
            <w:bCs w:val="false"/>
            <w:i w:val="false"/>
            <w:iCs w:val="false"/>
            <w:sz w:val="20"/>
            <w:szCs w:val="20"/>
            <w:u w:val="none"/>
            <w:lang w:eastAsia="en-US"/>
          </w:rPr>
          <w:t>Lei Complementar nº 123, de 2006</w:t>
        </w:r>
      </w:hyperlink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276" w:before="85" w:after="85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lang w:eastAsia="en-US"/>
        </w:rPr>
        <w:t>10.11.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>
      <w:pPr>
        <w:pStyle w:val="Normal"/>
        <w:spacing w:lineRule="auto" w:line="276" w:before="85" w:after="85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10.11.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Após o prazo acima referenciado, será paga multa financeira nos seguintes termos: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85" w:after="85"/>
        <w:ind w:hanging="0" w:left="0" w:right="0"/>
        <w:contextualSpacing w:val="false"/>
        <w:jc w:val="center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sz w:val="20"/>
          <w:szCs w:val="20"/>
        </w:rPr>
        <w:t xml:space="preserve">VM = VF </w:t>
      </w:r>
      <w:r>
        <w:rPr>
          <w:rFonts w:cs="Verdana" w:ascii="Verdana" w:hAnsi="Verdana"/>
          <w:sz w:val="20"/>
          <w:szCs w:val="20"/>
          <w:vertAlign w:val="subscript"/>
        </w:rPr>
        <w:t>*</w:t>
      </w:r>
      <w:r>
        <w:rPr>
          <w:rFonts w:cs="Verdana" w:ascii="Verdana" w:hAnsi="Verdana"/>
          <w:sz w:val="20"/>
          <w:szCs w:val="20"/>
        </w:rPr>
        <w:t xml:space="preserve"> </w:t>
      </w:r>
      <w:r>
        <w:rPr>
          <w:rFonts w:cs="Verdana" w:ascii="Verdana" w:hAnsi="Verdana"/>
          <w:sz w:val="20"/>
          <w:szCs w:val="20"/>
          <w:u w:val="single"/>
        </w:rPr>
        <w:t>0,33</w:t>
      </w:r>
      <w:r>
        <w:rPr>
          <w:rFonts w:cs="Verdana" w:ascii="Verdana" w:hAnsi="Verdana"/>
          <w:sz w:val="20"/>
          <w:szCs w:val="20"/>
        </w:rPr>
        <w:t xml:space="preserve"> </w:t>
      </w:r>
      <w:r>
        <w:rPr>
          <w:rFonts w:cs="Verdana" w:ascii="Verdana" w:hAnsi="Verdana"/>
          <w:sz w:val="20"/>
          <w:szCs w:val="20"/>
          <w:vertAlign w:val="subscript"/>
        </w:rPr>
        <w:t>*</w:t>
      </w:r>
      <w:r>
        <w:rPr>
          <w:rFonts w:cs="Verdana" w:ascii="Verdana" w:hAnsi="Verdana"/>
          <w:sz w:val="20"/>
          <w:szCs w:val="20"/>
        </w:rPr>
        <w:t xml:space="preserve"> ND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85" w:after="85"/>
        <w:ind w:hanging="0" w:left="0" w:right="0"/>
        <w:contextualSpacing w:val="false"/>
        <w:jc w:val="center"/>
        <w:rPr>
          <w:rFonts w:ascii="Verdana" w:hAnsi="Verdana"/>
          <w:sz w:val="20"/>
          <w:szCs w:val="20"/>
        </w:rPr>
      </w:pPr>
      <w:r>
        <w:rPr>
          <w:rFonts w:eastAsia="Verdana" w:cs="Verdana" w:ascii="Verdana" w:hAnsi="Verdana"/>
          <w:sz w:val="20"/>
          <w:szCs w:val="20"/>
        </w:rPr>
        <w:t xml:space="preserve">        </w:t>
      </w:r>
      <w:r>
        <w:rPr>
          <w:rFonts w:cs="Verdana" w:ascii="Verdana" w:hAnsi="Verdana"/>
          <w:sz w:val="20"/>
          <w:szCs w:val="20"/>
        </w:rPr>
        <w:t>100</w:t>
      </w:r>
    </w:p>
    <w:p>
      <w:pPr>
        <w:pStyle w:val="Normal"/>
        <w:suppressAutoHyphens w:val="false"/>
        <w:spacing w:lineRule="auto" w:line="276" w:before="85" w:after="85"/>
        <w:ind w:hanging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Onde: </w:t>
      </w:r>
    </w:p>
    <w:p>
      <w:pPr>
        <w:pStyle w:val="Normal"/>
        <w:suppressAutoHyphens w:val="false"/>
        <w:spacing w:lineRule="auto" w:line="276" w:before="85" w:after="85"/>
        <w:ind w:hanging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VM = Valor da Multa Financeira; </w:t>
      </w:r>
    </w:p>
    <w:p>
      <w:pPr>
        <w:pStyle w:val="Normal"/>
        <w:suppressAutoHyphens w:val="false"/>
        <w:spacing w:lineRule="auto" w:line="276" w:before="85" w:after="85"/>
        <w:ind w:hanging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VF = Valor da Nota Fiscal;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85" w:after="85"/>
        <w:ind w:hanging="0" w:left="0" w:right="0"/>
        <w:contextualSpacing w:val="false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color w:val="000000"/>
          <w:sz w:val="20"/>
          <w:szCs w:val="20"/>
        </w:rPr>
        <w:t>ND = Número de dias em atraso.</w:t>
      </w:r>
    </w:p>
    <w:p>
      <w:pPr>
        <w:pStyle w:val="Normal"/>
        <w:suppressAutoHyphens w:val="false"/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 xml:space="preserve">10.12..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>
      <w:pPr>
        <w:pStyle w:val="Normal"/>
        <w:suppressAutoHyphens w:val="false"/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10.13.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Qualquer alteração feita no contrato social, ato constitutivo ou estatuto deverá ser co</w:t>
      </w:r>
      <w:r>
        <w:rPr>
          <w:rFonts w:cs="Arial" w:ascii="Verdana" w:hAnsi="Verdana"/>
          <w:color w:val="000000"/>
          <w:sz w:val="20"/>
          <w:szCs w:val="20"/>
        </w:rPr>
        <w:t xml:space="preserve">municado ao CONTRATANTE, mediante documentação própria, para apreciação da autoridade competente. </w:t>
      </w:r>
    </w:p>
    <w:p>
      <w:pPr>
        <w:pStyle w:val="Normal"/>
        <w:suppressAutoHyphens w:val="false"/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 xml:space="preserve">10.14.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O CONTRATANTE poderá deduzir do pagamento importâncias que a qualquer título lhe forem devidos pela empresa CONTRATADA, em decorrência de descumprimento de suas obrigações.</w:t>
      </w:r>
    </w:p>
    <w:p>
      <w:pPr>
        <w:pStyle w:val="Default"/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10.15.</w:t>
      </w:r>
      <w:r>
        <w:rPr>
          <w:rFonts w:cs="Arial" w:ascii="Verdana" w:hAnsi="Verdana"/>
          <w:sz w:val="20"/>
          <w:szCs w:val="20"/>
        </w:rPr>
        <w:t xml:space="preserve"> Para a efetivação do pagamento, a CONTRATADA deverá manter as mesmas </w:t>
      </w:r>
      <w:r>
        <w:rPr>
          <w:rFonts w:cs="Arial" w:ascii="Verdana" w:hAnsi="Verdana"/>
          <w:sz w:val="20"/>
          <w:szCs w:val="20"/>
          <w:lang w:eastAsia="pt-BR"/>
        </w:rPr>
        <w:t>condições relativas à proposta de preço e a habilitação;</w:t>
      </w:r>
    </w:p>
    <w:p>
      <w:pPr>
        <w:pStyle w:val="Default"/>
        <w:spacing w:lineRule="auto" w:line="276" w:before="85" w:after="85"/>
        <w:ind w:hanging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>11</w:t>
      </w:r>
      <w:r>
        <w:rPr>
          <w:rFonts w:ascii="Verdana" w:hAnsi="Verdana"/>
          <w:b/>
          <w:bCs/>
          <w:iCs/>
          <w:sz w:val="20"/>
          <w:szCs w:val="20"/>
        </w:rPr>
        <w:t>. DAS SANÇÕES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.1.1. Dar causa à inexecução parcial do contrato.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.1.3. Dar causa à inexecução total;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.1.4. Deixar de entregar a documentação exigida para o certame.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.1.5. Não manter a proposta, salvo em decorrência de fato superveniente devidamente justificado.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.1.7. Ensejar o retardamento da execução ou da entrega do objeto sem motivo justificado,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.1.8. Apresentar declaração ou documentação falsa exigida para o certame ou prestar declaração falsa durante a dispensa eletrônica ou a execução do objeto.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11.1.9. Fraudar a dispensa eletrônica ou praticar ato fraudulento na execução do objeto.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.1.10. Comportar-se de modo inidôneo ou cometer fraude de qualquer natureza.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.1.11. Praticar atos ilícitos com vistas a frustrar os objetivos deste certame.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.1.12. Praticar ato lesivo previsto no art. 5º da Lei nº 12.846, de 1º de agosto de 2013.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11.1.13.</w:t>
      </w: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 O fornecedor que cometer qualquer das infrações discriminadas nos subitens anteriores fica</w:t>
      </w:r>
      <w:r>
        <w:rPr>
          <w:rFonts w:ascii="Verdana" w:hAnsi="Verdana"/>
          <w:iCs/>
          <w:sz w:val="20"/>
          <w:szCs w:val="20"/>
        </w:rPr>
        <w:t>rá sujeito, sem prejuízo da responsabilidade civil e criminal, às seguintes sanções: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         </w:t>
      </w:r>
      <w:r>
        <w:rPr>
          <w:rFonts w:ascii="Verdana" w:hAnsi="Verdana"/>
          <w:iCs/>
          <w:sz w:val="20"/>
          <w:szCs w:val="20"/>
        </w:rPr>
        <w:t>a) Advertência pela falta do subitem 11.1.1 deste Termo de Referência, quando não se justificar a imposição de penalidade mais grave.</w:t>
      </w:r>
    </w:p>
    <w:p>
      <w:pPr>
        <w:pStyle w:val="Normal"/>
        <w:widowControl/>
        <w:suppressAutoHyphens w:val="true"/>
        <w:overflowPunct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11</w:t>
      </w:r>
      <w:r>
        <w:rPr>
          <w:rFonts w:ascii="Verdana" w:hAnsi="Verdana"/>
          <w:iCs/>
          <w:sz w:val="20"/>
          <w:szCs w:val="20"/>
        </w:rPr>
        <w:t xml:space="preserve">.1.7 e 20% (vinte por cento), se cometidas infrações previstas nos itens 11.1.8 a 11.1.12; </w:t>
      </w:r>
    </w:p>
    <w:p>
      <w:pPr>
        <w:pStyle w:val="Normal"/>
        <w:widowControl/>
        <w:suppressAutoHyphens w:val="true"/>
        <w:overflowPunct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ab/>
        <w:t>b.1) O valor da multa poderá ser descontado das faturas devidas à CONTRATADA;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ab/>
        <w:t xml:space="preserve">b.2) A multa pode ser aplicada isoladamente ou juntamente com as penalidades definidas nos itens “c” e “d” abaixo: 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>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 Na aplicação das sanções serão considerados: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.3.1. A natureza e a gravidade da infração cometida.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11.3.2. As peculiaridades do caso concreto.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11.3.3. As circunstâncias agravantes ou atenuantes.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11.3.4. Os danos que dela provierem para a Administração Pública.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.3.5. A implantação ou o aperfeiçoamento de programa de integridade, conforme normas e orientações dos órgãos de controle.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lang w:eastAsia="en-US"/>
        </w:rPr>
        <w:t xml:space="preserve">11.5. </w:t>
      </w:r>
      <w:r>
        <w:rPr>
          <w:rFonts w:ascii="Verdana" w:hAnsi="Verdana"/>
          <w:iCs/>
          <w:sz w:val="20"/>
          <w:szCs w:val="20"/>
          <w:lang w:eastAsia="en-US"/>
        </w:rPr>
        <w:t>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76" w:before="85" w:after="85"/>
        <w:ind w:hanging="0" w:left="-79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85" w:after="85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lang w:eastAsia="en-US"/>
        </w:rPr>
        <w:t>12. DA HABILITAÇÃO</w:t>
      </w:r>
    </w:p>
    <w:p>
      <w:pPr>
        <w:pStyle w:val="Nivel01"/>
        <w:tabs>
          <w:tab w:val="left" w:pos="517" w:leader="none"/>
          <w:tab w:val="left" w:pos="567" w:leader="none"/>
          <w:tab w:val="left" w:pos="683" w:leader="none"/>
        </w:tabs>
        <w:spacing w:lineRule="auto" w:line="276" w:before="85" w:after="85"/>
        <w:ind w:hanging="0" w:left="-57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a) SICAF;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3">
        <w:r>
          <w:rPr>
            <w:rStyle w:val="ListLabel30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  <w:lang w:eastAsia="ar-SA"/>
          </w:rPr>
          <w:t>www.portaldatransparencia.gov.br/ceis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);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4">
        <w:r>
          <w:rPr>
            <w:rStyle w:val="ListLabel30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lineRule="auto" w:line="276" w:before="85" w:after="85"/>
        <w:ind w:hanging="0" w:right="0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e) Cadastro de empresas inid</w:t>
      </w:r>
      <w:r>
        <w:rPr>
          <w:rFonts w:cs="Verdana" w:ascii="Verdana" w:hAnsi="Verdana"/>
          <w:b w:val="false"/>
          <w:bCs w:val="false"/>
          <w:sz w:val="20"/>
          <w:szCs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5">
        <w:r>
          <w:rPr>
            <w:rStyle w:val="ListLabel31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</w:rPr>
          <w:t>https://www.tcees.tc.br/portal-da-transparencia/consultas/lista-de</w:t>
        </w:r>
      </w:hyperlink>
      <w:r>
        <w:rPr>
          <w:rFonts w:cs="Verdana" w:ascii="Verdana" w:hAnsi="Verdana"/>
          <w:b w:val="false"/>
          <w:bCs w:val="false"/>
          <w:sz w:val="20"/>
          <w:szCs w:val="20"/>
        </w:rPr>
        <w:t xml:space="preserve"> responsáveis/proibidos-de-contratar/).</w:t>
      </w:r>
    </w:p>
    <w:p>
      <w:pPr>
        <w:pStyle w:val="Normal"/>
        <w:spacing w:lineRule="auto" w:line="276" w:before="85" w:after="85"/>
        <w:ind w:hanging="0" w:right="0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12.1.1. </w:t>
      </w:r>
      <w:r>
        <w:rPr>
          <w:rFonts w:cs="Verdana" w:ascii="Verdana" w:hAnsi="Verdana"/>
          <w:sz w:val="20"/>
          <w:szCs w:val="20"/>
          <w:lang w:eastAsia="ar-SA"/>
        </w:rPr>
        <w:t>Para a consulta de licitantes pessoa jurídica poderá haver a substituição das consultas das alíneas “b”, “c” e “d” acima pela Consulta Consolidada de Pessoa Jurídica do TCU (</w:t>
      </w:r>
      <w:hyperlink r:id="rId6">
        <w:r>
          <w:rPr>
            <w:rStyle w:val="ListLabel32"/>
            <w:rFonts w:cs="Verdana" w:ascii="Verdana" w:hAnsi="Verdana"/>
            <w:color w:val="000080"/>
            <w:sz w:val="20"/>
            <w:szCs w:val="20"/>
            <w:u w:val="single"/>
            <w:lang w:eastAsia="ar-SA"/>
          </w:rPr>
          <w:t>https://certidoesapf.apps.tcu.gov.br/</w:t>
        </w:r>
      </w:hyperlink>
      <w:r>
        <w:rPr>
          <w:rFonts w:cs="Verdana" w:ascii="Verdana" w:hAnsi="Verdana"/>
          <w:sz w:val="20"/>
          <w:szCs w:val="20"/>
          <w:lang w:eastAsia="ar-SA"/>
        </w:rPr>
        <w:t>);</w:t>
      </w:r>
    </w:p>
    <w:p>
      <w:pPr>
        <w:pStyle w:val="Normal"/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12.1.2.1</w:t>
      </w:r>
      <w:r>
        <w:rPr>
          <w:rFonts w:cs="Verdana" w:ascii="Verdana" w:hAnsi="Verdana"/>
          <w:b/>
          <w:bCs/>
          <w:color w:val="000000"/>
          <w:sz w:val="20"/>
          <w:szCs w:val="20"/>
        </w:rPr>
        <w:t>.</w:t>
      </w:r>
      <w:r>
        <w:rPr>
          <w:rFonts w:cs="Verdana" w:ascii="Verdana" w:hAnsi="Verdana"/>
          <w:bCs/>
          <w:color w:val="000000"/>
          <w:sz w:val="20"/>
          <w:szCs w:val="20"/>
        </w:rPr>
        <w:t xml:space="preserve">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12.1.2.3. O licitante será convocado para manifestação previamente à sua desclassificação.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12.2.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Caso atendidas as condições de participação, </w:t>
      </w:r>
      <w:r>
        <w:rPr>
          <w:rFonts w:cs="Verdana" w:ascii="Verdana" w:hAnsi="Verdana"/>
          <w:b w:val="false"/>
          <w:bCs w:val="false"/>
          <w:sz w:val="20"/>
          <w:szCs w:val="20"/>
        </w:rPr>
        <w:t>a habilitação dos licitantes será verificada por meio do SICAF, nos documentos por ele abrangidos</w:t>
      </w: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12.3. Ha</w:t>
      </w:r>
      <w:r>
        <w:rPr>
          <w:rFonts w:cs="Verdana" w:ascii="Verdana" w:hAnsi="Verdana"/>
          <w:color w:val="000000"/>
          <w:sz w:val="20"/>
          <w:szCs w:val="20"/>
        </w:rPr>
        <w:t>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12.5 Não serão aceitos documentos de habilitação com indicação de CNPJ/CPF diferentes, salvo aqueles legalmente permitidos.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12.7 Ress</w:t>
      </w:r>
      <w:r>
        <w:rPr>
          <w:rFonts w:cs="Verdana" w:ascii="Verdana" w:hAnsi="Verdana"/>
          <w:sz w:val="20"/>
          <w:szCs w:val="20"/>
        </w:rPr>
        <w:t>alvado o disposto no item 5.3, os licitantes deverão encaminhar, nos termos deste Edital, a documentação relacionada nos itens a seguir, para fins de habilitação: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>12.8 Habilitação jurídica: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12.8.1 No caso de empresário individual: inscrição no Registro Público de Empresas Mercantis, a cargo da Junta Comercial da respectiva sede.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www.portaldoempreendedor.gov.br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</w:rPr>
        <w:t>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12.8.4 Inscrição no Registro Público de Empresas Mercantis onde opera, com averbação no Registro onde tem sede a matriz, no caso de ser o participante sucursal, filial ou agência.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12.8.7 No</w:t>
      </w:r>
      <w:r>
        <w:rPr>
          <w:rFonts w:cs="Verdana" w:ascii="Verdana" w:hAnsi="Verdana"/>
          <w:bCs/>
          <w:color w:val="000000"/>
          <w:sz w:val="20"/>
          <w:szCs w:val="20"/>
        </w:rPr>
        <w:t xml:space="preserve"> caso de empresa ou sociedade estrangeira em funcionamento no País: decreto de autorização.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12.8.8 Os documentos acima deverão estar acompanhados de todas as alterações ou da con</w:t>
      </w:r>
      <w:r>
        <w:rPr>
          <w:rFonts w:cs="Verdana" w:ascii="Verdana" w:hAnsi="Verdana"/>
          <w:bCs/>
          <w:color w:val="000000"/>
          <w:sz w:val="20"/>
          <w:szCs w:val="20"/>
        </w:rPr>
        <w:t>solidação respectiva.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 xml:space="preserve">12.9 Regularidade fiscal </w:t>
      </w:r>
      <w:r>
        <w:rPr>
          <w:rFonts w:cs="Verdana" w:ascii="Verdana" w:hAnsi="Verdana"/>
          <w:b/>
          <w:bCs/>
          <w:sz w:val="20"/>
          <w:szCs w:val="20"/>
        </w:rPr>
        <w:t>e trabalhista</w:t>
      </w:r>
      <w:r>
        <w:rPr>
          <w:rFonts w:cs="Verdana" w:ascii="Verdana" w:hAnsi="Verdana"/>
          <w:b/>
          <w:bCs/>
          <w:color w:val="0000FF"/>
          <w:sz w:val="20"/>
          <w:szCs w:val="20"/>
        </w:rPr>
        <w:t>:</w:t>
      </w:r>
    </w:p>
    <w:p>
      <w:pPr>
        <w:pStyle w:val="Normal"/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12.9.1 Prova de inscrição no Cadastro Nacional de Pessoas Jurídicas ou no Cadastro de Pessoas Físicas, conforme o caso.</w:t>
      </w:r>
    </w:p>
    <w:p>
      <w:pPr>
        <w:pStyle w:val="Normal"/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12.9.2 Certidão de regularidade junto à fazenda pública Municipal, do domicílio do Licitante.</w:t>
      </w:r>
    </w:p>
    <w:p>
      <w:pPr>
        <w:pStyle w:val="Normal"/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12.9.3 Certidão de regularidade junto à fazenda pública Estadual, do domicílio do Licitante.</w:t>
      </w:r>
    </w:p>
    <w:p>
      <w:pPr>
        <w:pStyle w:val="Normal"/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12.9.4 Certidão conjunta de regularidade junto à fazenda pública Federal, (Quitação de tributos e contribuições Federais e Quanto à dívida ativa da União) e junto ao INSS, conforme Portaria MF nº 358 de 05/09/2014.</w:t>
      </w:r>
    </w:p>
    <w:p>
      <w:pPr>
        <w:pStyle w:val="Normal"/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12.9.5 Certidão de regularidade junto ao FGTS;</w:t>
      </w:r>
    </w:p>
    <w:p>
      <w:pPr>
        <w:pStyle w:val="Normal"/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12.9.6 Certidão Negativa De Débitos Trabalhistas (CNDT) de acordo com a Lei 12440 de 7 de julho de 2011.</w:t>
      </w:r>
    </w:p>
    <w:p>
      <w:pPr>
        <w:pStyle w:val="Normal"/>
        <w:spacing w:lineRule="auto" w:line="276" w:before="85" w:after="85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 w:bidi="pt-BR"/>
        </w:rPr>
        <w:t xml:space="preserve">12.9.7 Caso o vencedor do menor preço seja qualificado como microempresa ou empresa de pequeno porte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/>
        </w:rPr>
        <w:t>deverá apresentar toda a documentação exigida para efeito de</w:t>
      </w:r>
      <w:r>
        <w:rPr>
          <w:rFonts w:cs="Verdana" w:ascii="Verdana" w:hAnsi="Verdana"/>
          <w:color w:val="000000"/>
          <w:sz w:val="20"/>
          <w:szCs w:val="20"/>
          <w:lang w:eastAsia="en-US"/>
        </w:rPr>
        <w:t xml:space="preserve"> comprovação de regularidade fiscal, mesmo que esta apresente alguma restrição, sob pena de inabilitação.</w:t>
      </w:r>
    </w:p>
    <w:p>
      <w:pPr>
        <w:pStyle w:val="Normal"/>
        <w:spacing w:lineRule="auto" w:line="276" w:before="85" w:after="85"/>
        <w:ind w:hanging="0" w:left="0" w:right="0"/>
        <w:jc w:val="both"/>
        <w:rPr/>
      </w:pPr>
      <w:r>
        <w:rPr>
          <w:rFonts w:cs="Verdana" w:ascii="Verdana" w:hAnsi="Verdana"/>
          <w:b/>
          <w:color w:val="000000"/>
          <w:sz w:val="20"/>
          <w:szCs w:val="20"/>
        </w:rPr>
        <w:t>12.10 Q</w:t>
      </w:r>
      <w:r>
        <w:rPr>
          <w:rFonts w:cs="Arial" w:ascii="Verdana" w:hAnsi="Verdana"/>
          <w:b/>
          <w:bCs/>
          <w:color w:val="000000"/>
          <w:sz w:val="20"/>
        </w:rPr>
        <w:t>ualificação Econômico-Financeira.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 w:cs="Arial"/>
          <w:b w:val="false"/>
          <w:bCs w:val="false"/>
          <w:color w:val="000000"/>
          <w:sz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</w:rPr>
        <w:t>12.10.1 Certidão negativa de falência, recuperação judicial e extrajudicial, expedida pelo cartório distribuidor da sede da Licitante ou por meio digital, emitida em até 30 (trinta) dias anteriores à data de abertura da Licitação;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 w:cs="Arial"/>
          <w:b w:val="false"/>
          <w:bCs w:val="false"/>
          <w:color w:val="000000"/>
          <w:sz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</w:rPr>
        <w:t>12.10.2 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 w:cs="Arial"/>
          <w:b w:val="false"/>
          <w:bCs w:val="false"/>
          <w:color w:val="000000"/>
          <w:sz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</w:rPr>
        <w:t>12.10.3 Para a contagem do prazo estabelecido na letra “a” deste capítulo, será contado a partir do primeiro dia que antecede a data da realização desta licitação.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 w:cs="Arial"/>
          <w:b w:val="false"/>
          <w:bCs w:val="false"/>
          <w:color w:val="000000"/>
          <w:sz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 w:cs="Arial"/>
          <w:b w:val="false"/>
          <w:bCs w:val="false"/>
          <w:color w:val="000000"/>
          <w:sz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</w:rPr>
      </w:r>
    </w:p>
    <w:p>
      <w:pPr>
        <w:pStyle w:val="Normal"/>
        <w:widowControl/>
        <w:suppressAutoHyphens w:val="false"/>
        <w:overflowPunct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RESULTADOS PRETENDIDOS COM A CONTRATAÇÃO</w:t>
      </w:r>
    </w:p>
    <w:p>
      <w:pPr>
        <w:pStyle w:val="Normal"/>
        <w:widowControl/>
        <w:suppressAutoHyphens w:val="true"/>
        <w:overflowPunct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13.1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A aquisição de doces para evento de Natal tem como principal resultado pretendido a economicidade, ou seja, a busca por custos mais baixos sem comprometer a qualidade do produto. Para isso, é importante realizar uma pesquisa de mercado para identificar fornecedores que ofereçam produtos de qualidade a preços competitivos.</w:t>
      </w:r>
    </w:p>
    <w:p>
      <w:pPr>
        <w:pStyle w:val="Normal"/>
        <w:widowControl/>
        <w:suppressAutoHyphens w:val="true"/>
        <w:overflowPunct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13.2. Além disso, é importante buscar o melhor aproveitamento dos recursos humanos, materiais e financeiros disponíveis. Isso significa que a compra dos doces deve ser feita levando em consideração a quantidade necessária para o evento, evitando desperdícios e garantindo a eficiência na utilização dos recursos disponíveis.</w:t>
      </w:r>
    </w:p>
    <w:p>
      <w:pPr>
        <w:pStyle w:val="Normal"/>
        <w:widowControl/>
        <w:suppressAutoHyphens w:val="true"/>
        <w:overflowPunct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13.3. Outro aspecto importante a ser considerado é o desenvolvimento sustentável. Nesse sentido, é fundamental buscar fornecedores que adotem práticas sustentáveis em sua produção, como o uso de ingredientes orgânicos e embalagens recicláveis. Além disso, é importante garantir que a compra dos doces não contribua para o desmatamento ou exploração de mão de obra precária.</w:t>
      </w:r>
    </w:p>
    <w:p>
      <w:pPr>
        <w:pStyle w:val="Normal"/>
        <w:widowControl/>
        <w:suppressAutoHyphens w:val="true"/>
        <w:overflowPunct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13.4. Portanto, ao buscar a aquisição de doces para evento de Natal, é essencial pensar não apenas na qualidade do produto, mas também nos impactos econômicos, sociais e ambientais dessa compra, buscando sempre a melhor relação custo-benefício e promovendo práticas sustentáveis.</w:t>
      </w:r>
    </w:p>
    <w:p>
      <w:pPr>
        <w:pStyle w:val="Normal"/>
        <w:widowControl/>
        <w:suppressAutoHyphens w:val="true"/>
        <w:overflowPunct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PROVIDÊNCIAS A SEREM ADOTADAS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14.1.</w:t>
      </w:r>
      <w:r>
        <w:rPr>
          <w:rFonts w:cs="Arial" w:ascii="Verdana" w:hAnsi="Verdana"/>
          <w:b/>
          <w:sz w:val="20"/>
          <w:szCs w:val="20"/>
        </w:rPr>
        <w:t xml:space="preserve">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A Administração Pública contará com a Secretaria Municipal de Assistência Social 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 xml:space="preserve">responsável por acompanhar a entrega, </w:t>
      </w:r>
      <w:r>
        <w:rPr>
          <w:rFonts w:cs="Arial" w:ascii="Verdana" w:hAnsi="Verdana"/>
          <w:b w:val="false"/>
          <w:bCs w:val="false"/>
          <w:sz w:val="20"/>
          <w:szCs w:val="20"/>
        </w:rPr>
        <w:t>recebimento e conferência das especificações contidas no processo licitatório.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15.1.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Após uma minuciosa análise, foi investigado minuciosamente se existem contratações atualmente em andamento que possam se correlacionar ou interagir de forma significativa com o planejamento da futura contratação. A intenção foi identificar quaisquer possíveis interferências ou áreas que demandem atenção especial no desenvolvimento deste novo processo.</w:t>
      </w:r>
    </w:p>
    <w:p>
      <w:pPr>
        <w:pStyle w:val="BodyText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15.2. Os resultados desta análise revelaram que, embora haja algumas contratações em curso, sua interdependência com o planejamento da próxima contratação é mínima. Houve um cuidadoso mapeamento das relações entre as diversas contratações em andamento e a futura, concluindo-se que as influências potenciais são limitadas e não devem apresentar impactos substanciais no planejamento ou execução da nova contratação.</w:t>
      </w:r>
    </w:p>
    <w:p>
      <w:pPr>
        <w:pStyle w:val="BodyText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15.3. No entanto, foi observada a necessidade de acompanhar de perto determinados aspectos que poderiam tangenciar a nova contratação. Essa atenção extra garantirá a integridade e a eficiência do processo, assegurando que a futura contratação seja realizada de maneira independente e sem comprometer os outros projetos em andamento.</w:t>
      </w:r>
    </w:p>
    <w:p>
      <w:pPr>
        <w:pStyle w:val="Normal"/>
        <w:widowControl/>
        <w:suppressAutoHyphens w:val="fals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15.4. Em resumo, a análise detalhada revelou uma margem confortável para avançar com o planejamento da nova contratação, mantendo a consciência e cautela necessárias para potenciais interações com os processos já em curso.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 w:cs="Arial"/>
          <w:b w:val="false"/>
          <w:bCs w:val="false"/>
          <w:sz w:val="20"/>
          <w:szCs w:val="20"/>
          <w:shd w:fill="auto" w:val="clear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16. POSSÍVEIS IMPACTOS AMBIENTAIS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16.1.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Não há previsão de impacto ambiental para a contratação em tela.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 w:cs="Arial"/>
          <w:b w:val="false"/>
          <w:bCs w:val="false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DECLARAÇÃO E JUSTIFICATIVA DA VIABILIDADE</w:t>
      </w:r>
    </w:p>
    <w:p>
      <w:pPr>
        <w:pStyle w:val="BodyText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17.1 Após uma minuciosa avaliação da viabilidade de contratação, é com satisfação que comunicamos um parecer favorável em relação aos aspectos técnicos, operacionais e orçamentários do projeto proposto. Nossa análise abrangente levou em consideração não apenas a capacidade técnica exigida, mas também a eficiência operacional e a compatibilidade com o orçamento disponível.</w:t>
      </w:r>
    </w:p>
    <w:p>
      <w:pPr>
        <w:pStyle w:val="BodyText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17.2 A avaliação técnica destacou a adequação das habilidades e competências necessárias, evidenciando a capacidade de atender aos requisitos específicos demandados. Além disso, a viabilidade operacional foi confirmada, com a identificação de processos e recursos que se alinham de maneira eficaz à execução do projeto, garantindo sua fluidez e sucesso.</w:t>
      </w:r>
    </w:p>
    <w:p>
      <w:pPr>
        <w:pStyle w:val="BodyText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17.3 Quanto à viabilidade orçamentária, a análise meticulosa revelou uma alocação de recursos que se mostra condizente com as expectativas financeiras estipuladas, assegurando um uso prudente e eficiente dos fundos disponíveis.</w:t>
      </w:r>
    </w:p>
    <w:p>
      <w:pPr>
        <w:pStyle w:val="BodyText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17.4 Destacamos que a contratação proposta não apenas atende, mas também se ajusta precisamente à necessidade identificada, apresentando-se como uma solução integral e coerente com os objetivos traçados.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Cs/>
          <w:color w:val="000000"/>
          <w:sz w:val="20"/>
          <w:szCs w:val="20"/>
          <w:shd w:fill="auto" w:val="clear"/>
        </w:rPr>
        <w:t>17.5 Com base nesta análise abrangente e criteriosa, recomendamos a efetivação da contratação, pois a mesma se mostra viável tecnicamente, operacionalmente e financeiramente, além de estar perfeitamente alinhada à demanda identificada.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85" w:after="85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/>
          <w:bCs/>
          <w:sz w:val="20"/>
          <w:szCs w:val="20"/>
        </w:rPr>
        <w:t xml:space="preserve">18. ADEQUAÇÃO ORÇAMENTÁRIA 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18.1.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As despesas decorrentes da presente </w:t>
      </w:r>
      <w:r>
        <w:rPr>
          <w:rFonts w:eastAsia="Times New Roman" w:cs="Times New Roman" w:ascii="Verdana" w:hAnsi="Verdana"/>
          <w:sz w:val="20"/>
          <w:szCs w:val="20"/>
        </w:rPr>
        <w:t>aquisição</w:t>
      </w:r>
      <w:r>
        <w:rPr>
          <w:rFonts w:ascii="Verdana" w:hAnsi="Verdana"/>
          <w:sz w:val="20"/>
          <w:szCs w:val="20"/>
        </w:rPr>
        <w:t xml:space="preserve"> correrão à conta de recursos específicos consignados no Lei Orçamentária Anual, bem como requisição do sistema presente nos autos, sendo a </w:t>
      </w:r>
      <w:r>
        <w:rPr>
          <w:rFonts w:eastAsia="Times New Roman" w:cs="Times New Roman" w:ascii="Verdana" w:hAnsi="Verdana"/>
          <w:sz w:val="20"/>
          <w:szCs w:val="20"/>
        </w:rPr>
        <w:t>aquisição</w:t>
      </w:r>
      <w:r>
        <w:rPr>
          <w:rFonts w:ascii="Verdana" w:hAnsi="Verdana"/>
          <w:sz w:val="20"/>
          <w:szCs w:val="20"/>
        </w:rPr>
        <w:t xml:space="preserve"> será atendida pelas seguintes dotações:</w:t>
      </w:r>
    </w:p>
    <w:p>
      <w:pPr>
        <w:pStyle w:val="Normal"/>
        <w:widowControl/>
        <w:numPr>
          <w:ilvl w:val="0"/>
          <w:numId w:val="2"/>
        </w:numPr>
        <w:tabs>
          <w:tab w:val="clear" w:pos="708"/>
          <w:tab w:val="left" w:pos="1083" w:leader="none"/>
          <w:tab w:val="left" w:pos="1133" w:leader="none"/>
        </w:tabs>
        <w:suppressAutoHyphens w:val="true"/>
        <w:overflowPunct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FICHA – FONTE: 00</w:t>
      </w:r>
      <w:r>
        <w:rPr>
          <w:rFonts w:eastAsia="Times New Roman" w:cs="Arial" w:ascii="Verdana" w:hAnsi="Verdana"/>
          <w:sz w:val="20"/>
          <w:szCs w:val="20"/>
        </w:rPr>
        <w:t>419-</w:t>
      </w:r>
      <w:r>
        <w:rPr>
          <w:rFonts w:cs="Arial" w:ascii="Verdana" w:hAnsi="Verdana"/>
          <w:sz w:val="20"/>
          <w:szCs w:val="20"/>
        </w:rPr>
        <w:t>166</w:t>
      </w:r>
      <w:r>
        <w:rPr>
          <w:rFonts w:eastAsia="Times New Roman" w:cs="Arial" w:ascii="Verdana" w:hAnsi="Verdana"/>
          <w:sz w:val="20"/>
          <w:szCs w:val="20"/>
        </w:rPr>
        <w:t>0000000012 no valor estimado de R$ 21.690,10 (vinte e um mil seiscentos e noventa reais e dez centavos)</w:t>
      </w:r>
    </w:p>
    <w:p>
      <w:pPr>
        <w:pStyle w:val="Normal"/>
        <w:widowControl/>
        <w:tabs>
          <w:tab w:val="clear" w:pos="708"/>
          <w:tab w:val="left" w:pos="1083" w:leader="none"/>
          <w:tab w:val="left" w:pos="1133" w:leader="none"/>
        </w:tabs>
        <w:suppressAutoHyphens w:val="true"/>
        <w:overflowPunct w:val="true"/>
        <w:bidi w:val="0"/>
        <w:spacing w:lineRule="auto" w:line="276" w:before="85" w:after="85"/>
        <w:ind w:hanging="0" w:left="0" w:right="0"/>
        <w:jc w:val="both"/>
        <w:rPr>
          <w:rFonts w:eastAsia="Times New Roman" w:cs="Arial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19. DOS RESPONSÁVEIS PELA ELABORAÇÃO DO TERMO DE REFERÊNCIA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19.1. A compilação d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e parte das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informações mencionados 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na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elaboração deste Termo de Referência foram estruturadas através do ETP – Estudo Técnico Preliminar elaborado pela secretaria requisitante.</w:t>
      </w:r>
    </w:p>
    <w:p>
      <w:pPr>
        <w:pStyle w:val="Normal"/>
        <w:spacing w:lineRule="auto" w:line="276" w:before="85" w:after="85"/>
        <w:ind w:hanging="0" w:left="0" w:right="0"/>
        <w:jc w:val="right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85" w:after="85"/>
        <w:ind w:hanging="0" w:left="0" w:right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São Gabriel da Palha, 05 de novembro de 2024</w:t>
      </w:r>
      <w:bookmarkStart w:id="13" w:name="_GoBack31"/>
    </w:p>
    <w:p>
      <w:pPr>
        <w:pStyle w:val="Normal"/>
        <w:spacing w:lineRule="auto" w:line="276" w:before="85" w:after="85"/>
        <w:ind w:hanging="0" w:left="0" w:right="0"/>
        <w:jc w:val="right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Elaborado por: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cs="Arial"/>
          <w:b/>
          <w:bCs/>
        </w:rPr>
      </w:pPr>
      <w:r>
        <w:rPr>
          <w:rFonts w:ascii="Verdana" w:hAnsi="Verdana"/>
          <w:sz w:val="20"/>
          <w:szCs w:val="20"/>
        </w:rPr>
      </w:r>
    </w:p>
    <w:p>
      <w:pPr>
        <w:sectPr>
          <w:headerReference w:type="even" r:id="rId7"/>
          <w:headerReference w:type="default" r:id="rId8"/>
          <w:headerReference w:type="first" r:id="rId9"/>
          <w:footerReference w:type="even" r:id="rId10"/>
          <w:footerReference w:type="default" r:id="rId11"/>
          <w:footerReference w:type="first" r:id="rId12"/>
          <w:type w:val="nextPage"/>
          <w:pgSz w:w="11906" w:h="16838"/>
          <w:pgMar w:left="1550" w:right="905" w:gutter="0" w:header="227" w:top="851" w:footer="467" w:bottom="855"/>
          <w:pgNumType w:fmt="decimal"/>
          <w:formProt w:val="false"/>
          <w:textDirection w:val="lrTb"/>
          <w:docGrid w:type="default" w:linePitch="326" w:charSpace="0"/>
        </w:sectPr>
      </w:pP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RUTH BARBARA DA SILWA NASCIMENTO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Assistente Administrativo</w:t>
      </w:r>
    </w:p>
    <w:p>
      <w:pPr>
        <w:pStyle w:val="Normal"/>
        <w:tabs>
          <w:tab w:val="clear" w:pos="708"/>
          <w:tab w:val="left" w:pos="300" w:leader="none"/>
        </w:tabs>
        <w:spacing w:lineRule="auto" w:line="276" w:before="85" w:after="85"/>
        <w:ind w:hanging="0" w:left="0" w:right="0"/>
        <w:jc w:val="both"/>
        <w:rPr/>
      </w:pPr>
      <w:hyperlink r:id="rId13">
        <w:r>
          <w:rPr>
            <w:rStyle w:val="ListLabel34"/>
            <w:rFonts w:eastAsia="Times New Roman" w:cs="Arial" w:ascii="Verdana" w:hAnsi="Verdana"/>
            <w:b/>
            <w:bCs/>
            <w:sz w:val="20"/>
            <w:szCs w:val="20"/>
          </w:rPr>
          <w:t>Mat. nº 002983</w:t>
        </w:r>
      </w:hyperlink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85" w:after="85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RODOLFO ANTÔNIO DA SILVA NETO</w:t>
      </w:r>
    </w:p>
    <w:p>
      <w:pPr>
        <w:pStyle w:val="Normal"/>
        <w:spacing w:lineRule="auto" w:line="276" w:before="85" w:after="85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Auxiliar Administrativo</w:t>
      </w:r>
    </w:p>
    <w:p>
      <w:pPr>
        <w:pStyle w:val="Normal"/>
        <w:spacing w:lineRule="auto" w:line="276" w:before="85" w:after="85"/>
        <w:ind w:hanging="0" w:left="0" w:right="0"/>
        <w:rPr>
          <w:rFonts w:ascii="Verdana" w:hAnsi="Verdana"/>
          <w:b/>
          <w:bCs/>
          <w:sz w:val="20"/>
          <w:szCs w:val="20"/>
        </w:rPr>
      </w:pPr>
      <w:bookmarkStart w:id="14" w:name="art122%252525252525252525252525252525C2%"/>
      <w:bookmarkEnd w:id="14"/>
      <w:r>
        <w:rPr>
          <w:rFonts w:ascii="Verdana" w:hAnsi="Verdana"/>
          <w:b/>
          <w:bCs/>
          <w:sz w:val="20"/>
          <w:szCs w:val="20"/>
        </w:rPr>
        <w:t>Mat nº 000406</w:t>
      </w:r>
      <w:bookmarkStart w:id="15" w:name="_GoBack31121"/>
      <w:bookmarkStart w:id="16" w:name="_GoBack3_Copia_1"/>
      <w:bookmarkEnd w:id="1"/>
      <w:bookmarkEnd w:id="3"/>
      <w:bookmarkEnd w:id="4"/>
      <w:bookmarkEnd w:id="5"/>
      <w:bookmarkEnd w:id="6"/>
      <w:bookmarkEnd w:id="7"/>
      <w:bookmarkEnd w:id="8"/>
      <w:bookmarkEnd w:id="11"/>
      <w:bookmarkEnd w:id="12"/>
      <w:bookmarkEnd w:id="13"/>
      <w:bookmarkEnd w:id="15"/>
      <w:bookmarkEnd w:id="16"/>
    </w:p>
    <w:p>
      <w:pPr>
        <w:sectPr>
          <w:type w:val="continuous"/>
          <w:pgSz w:w="11906" w:h="16838"/>
          <w:pgMar w:left="1550" w:right="905" w:gutter="0" w:header="227" w:top="851" w:footer="467" w:bottom="855"/>
          <w:cols w:num="2" w:space="282" w:equalWidth="true" w:sep="false"/>
          <w:formProt w:val="false"/>
          <w:textDirection w:val="lrTb"/>
          <w:docGrid w:type="default" w:linePitch="326" w:charSpace="0"/>
        </w:sectPr>
      </w:pPr>
    </w:p>
    <w:sectPr>
      <w:type w:val="continuous"/>
      <w:pgSz w:w="11906" w:h="16838"/>
      <w:pgMar w:left="1550" w:right="905" w:gutter="0" w:header="227" w:top="851" w:footer="467" w:bottom="855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360"/>
      <w:ind w:hanging="0" w:left="-79" w:right="0"/>
      <w:jc w:val="both"/>
      <w:rPr/>
    </w:pPr>
    <w:r>
      <w:rPr/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360"/>
      <w:ind w:hanging="0" w:left="-79" w:right="0"/>
      <w:jc w:val="both"/>
      <w:rPr/>
    </w:pPr>
    <w:r>
      <w:rPr/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u w:val="none"/>
        <w:b w:val="false"/>
        <w:bCs w:val="false"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i w:val="false"/>
        <w:u w:val="none"/>
        <w:b w:val="false"/>
        <w:iCs w:val="false"/>
        <w:bCs w:val="false"/>
        <w:lang w:eastAsia="en-US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4"/>
        <w:u w:val="single"/>
        <w:b w:val="false"/>
        <w:szCs w:val="24"/>
        <w:bCs w:val="false"/>
        <w:color w:val="000080"/>
        <w:lang w:eastAsia="ar-SA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u w:val="single"/>
        <w:b w:val="false"/>
        <w:bCs w:val="false"/>
        <w:color w:val="00008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u w:val="single"/>
        <w:color w:val="000080"/>
        <w:lang w:eastAsia="ar-SA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4"/>
        <w:u w:val="single"/>
        <w:b w:val="false"/>
        <w:szCs w:val="24"/>
        <w:bCs w:val="false"/>
        <w:color w:val="00000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pPr>
      <w:keepNext w:val="true"/>
      <w:keepLines/>
      <w:spacing w:before="480" w:after="0"/>
      <w:outlineLvl w:val="0"/>
    </w:pPr>
    <w:rPr>
      <w:rFonts w:ascii="Cambria" w:hAnsi="Cambria" w:eastAsia="Calibri" w:cs="Tahoma"/>
      <w:b/>
      <w:bCs/>
      <w:color w:themeColor="accent1" w:themeShade="bf" w:val="365F91"/>
      <w:sz w:val="28"/>
      <w:szCs w:val="28"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qFormat/>
    <w:rPr/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>
    <w:name w:val="A6"/>
    <w:qFormat/>
    <w:rPr>
      <w:color w:val="000000"/>
      <w:sz w:val="18"/>
      <w:u w:val="single"/>
    </w:rPr>
  </w:style>
  <w:style w:type="character" w:styleId="InternetLink">
    <w:name w:val="Internet Link"/>
    <w:qFormat/>
    <w:rPr>
      <w:color w:val="000080"/>
      <w:u w:val="single"/>
    </w:rPr>
  </w:style>
  <w:style w:type="character" w:styleId="CorpodetextoChar">
    <w:name w:val="Corpo de text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>
    <w:name w:val="Citação Char"/>
    <w:basedOn w:val="DefaultParagraphFont"/>
    <w:qFormat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>
    <w:name w:val="Nivel1 Char"/>
    <w:basedOn w:val="DefaultParagraphFont"/>
    <w:link w:val="Nivel1"/>
    <w:qFormat/>
    <w:rPr>
      <w:rFonts w:ascii="Arial" w:hAnsi="Arial" w:eastAsia="Calibri" w:cs="Arial"/>
      <w:b/>
      <w:color w:val="000000"/>
      <w:sz w:val="32"/>
      <w:szCs w:val="32"/>
    </w:rPr>
  </w:style>
  <w:style w:type="character" w:styleId="Nivel2Char">
    <w:name w:val="Nivel 2 Char"/>
    <w:basedOn w:val="DefaultParagraphFont"/>
    <w:link w:val="Nivel2"/>
    <w:qFormat/>
    <w:rPr>
      <w:rFonts w:ascii="Arial" w:hAnsi="Arial" w:cs="Arial"/>
      <w:color w:val="000000"/>
    </w:rPr>
  </w:style>
  <w:style w:type="character" w:styleId="Strong">
    <w:name w:val="Strong"/>
    <w:qFormat/>
    <w:rPr>
      <w:b/>
      <w:bCs/>
    </w:rPr>
  </w:style>
  <w:style w:type="character" w:styleId="Ttulo1Char">
    <w:name w:val="Título 1 Char"/>
    <w:basedOn w:val="DefaultParagraphFont"/>
    <w:qFormat/>
    <w:rPr>
      <w:rFonts w:ascii="Cambria" w:hAnsi="Cambria" w:eastAsia="Calibri" w:cs="Tahoma"/>
      <w:b/>
      <w:bCs/>
      <w:color w:themeColor="accent1" w:themeShade="bf" w:val="365F91"/>
      <w:sz w:val="28"/>
      <w:szCs w:val="28"/>
      <w:lang w:eastAsia="pt-BR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link w:val="Cabealho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link w:val="Rodap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Tabelanormal1">
    <w:name w:val="Tabela normal1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>
    <w:name w:val="Nivel1"/>
    <w:basedOn w:val="Heading1"/>
    <w:next w:val="Normal"/>
    <w:link w:val="Nivel1Char"/>
    <w:qFormat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themeColor="accent1" w:themeShade="bf" w:val="000000"/>
      <w:sz w:val="32"/>
      <w:szCs w:val="32"/>
      <w:lang w:eastAsia="en-US"/>
    </w:rPr>
  </w:style>
  <w:style w:type="paragraph" w:styleId="Standard">
    <w:name w:val="Standard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>
    <w:name w:val="citação 2"/>
    <w:basedOn w:val="Quote"/>
    <w:qFormat/>
    <w:pPr>
      <w:suppressAutoHyphens w:val="true"/>
    </w:pPr>
    <w:rPr>
      <w:kern w:val="2"/>
      <w:szCs w:val="20"/>
      <w:lang w:eastAsia="zh-CN" w:bidi="hi-IN"/>
    </w:rPr>
  </w:style>
  <w:style w:type="paragraph" w:styleId="Nivel2">
    <w:name w:val="Nivel 2"/>
    <w:basedOn w:val="Normal"/>
    <w:link w:val="Nivel2Char"/>
    <w:qFormat/>
    <w:pPr>
      <w:suppressAutoHyphens w:val="false"/>
      <w:spacing w:lineRule="auto" w:line="276" w:before="120" w:after="120"/>
      <w:jc w:val="both"/>
    </w:pPr>
    <w:rPr>
      <w:rFonts w:ascii="Arial" w:hAnsi="Arial" w:eastAsia="Calibri" w:cs="Arial"/>
      <w:color w:val="000000"/>
      <w:sz w:val="22"/>
      <w:szCs w:val="22"/>
      <w:lang w:eastAsia="en-US"/>
    </w:rPr>
  </w:style>
  <w:style w:type="paragraph" w:styleId="Nivel3">
    <w:name w:val="Nivel 3"/>
    <w:basedOn w:val="ListParagraph"/>
    <w:qFormat/>
    <w:pPr>
      <w:tabs>
        <w:tab w:val="clear" w:pos="708"/>
        <w:tab w:val="left" w:pos="360" w:leader="none"/>
      </w:tabs>
      <w:suppressAutoHyphens w:val="false"/>
      <w:spacing w:lineRule="auto" w:line="276" w:before="120" w:after="120"/>
      <w:ind w:hanging="0" w:left="425"/>
      <w:contextualSpacing/>
      <w:jc w:val="both"/>
    </w:pPr>
    <w:rPr>
      <w:rFonts w:ascii="Arial" w:hAnsi="Arial" w:cs="Arial"/>
      <w:sz w:val="20"/>
    </w:rPr>
  </w:style>
  <w:style w:type="paragraph" w:styleId="TableParagraph">
    <w:name w:val="Table Paragraph"/>
    <w:basedOn w:val="Normal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PADRO">
    <w:name w:val="PADRÃO"/>
    <w:qFormat/>
    <w:pPr>
      <w:keepNext w:val="true"/>
      <w:widowControl w:val="false"/>
      <w:shd w:val="clear" w:fill="FFFFFF"/>
      <w:suppressAutoHyphens w:val="true"/>
      <w:overflowPunct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Contedodatabela">
    <w:name w:val="Conteúdo da tabela"/>
    <w:basedOn w:val="Normal"/>
    <w:qFormat/>
    <w:pPr/>
    <w:rPr/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ivel01">
    <w:name w:val="Nivel 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themeColor="accent1" w:themeShade="bf" w:val="000000"/>
      <w:sz w:val="20"/>
      <w:szCs w:val="20"/>
    </w:rPr>
  </w:style>
  <w:style w:type="numbering" w:styleId="Semlista">
    <w:name w:val="Sem lista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lanalto.gov.br/ccivil_03/leis/lcp/lcp123.htm" TargetMode="External"/><Relationship Id="rId3" Type="http://schemas.openxmlformats.org/officeDocument/2006/relationships/hyperlink" Target="http://www.portaldatransparencia.gov.br/ceis" TargetMode="External"/><Relationship Id="rId4" Type="http://schemas.openxmlformats.org/officeDocument/2006/relationships/hyperlink" Target="http://www.cnj.jus.br/improbidade_adm/consultar_requerido.php" TargetMode="External"/><Relationship Id="rId5" Type="http://schemas.openxmlformats.org/officeDocument/2006/relationships/hyperlink" Target="https://www.tcees.tc.br/portal-da-transparencia/consultas/lista-de" TargetMode="External"/><Relationship Id="rId6" Type="http://schemas.openxmlformats.org/officeDocument/2006/relationships/hyperlink" Target="https://certidoesapf.apps.tcu.gov.br/" TargetMode="Externa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header" Target="header3.xml"/><Relationship Id="rId10" Type="http://schemas.openxmlformats.org/officeDocument/2006/relationships/footer" Target="footer1.xml"/><Relationship Id="rId11" Type="http://schemas.openxmlformats.org/officeDocument/2006/relationships/footer" Target="footer2.xml"/><Relationship Id="rId12" Type="http://schemas.openxmlformats.org/officeDocument/2006/relationships/footer" Target="footer3.xml"/><Relationship Id="rId13" Type="http://schemas.openxmlformats.org/officeDocument/2006/relationships/hyperlink" Target="https://www.planalto.gov.br/ccivil_03/leis/lcp/lcp123.htm" TargetMode="Externa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Application>LibreOffice/24.2.6.2$Windows_X86_64 LibreOffice_project/ef66aa7e36a1bb8e65bfbc63aba53045a14d0871</Application>
  <AppVersion>15.0000</AppVersion>
  <Pages>12</Pages>
  <Words>4979</Words>
  <Characters>28661</Characters>
  <CharactersWithSpaces>33426</CharactersWithSpaces>
  <Paragraphs>263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cp:lastPrinted>2024-08-21T14:02:50Z</cp:lastPrinted>
  <dcterms:modified xsi:type="dcterms:W3CDTF">2024-11-11T16:35:44Z</dcterms:modified>
  <cp:revision>147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